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5"/>
        <w:tblW w:w="0" w:type="auto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728"/>
        <w:gridCol w:w="4320"/>
      </w:tblGrid>
      <w:tr w:rsidR="005F1294" w:rsidRPr="005F1294" w14:paraId="6BB9943B" w14:textId="77777777" w:rsidTr="0068420A">
        <w:trPr>
          <w:trHeight w:val="1977"/>
        </w:trPr>
        <w:tc>
          <w:tcPr>
            <w:tcW w:w="414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083F6DF2" w14:textId="77777777" w:rsidR="005F1294" w:rsidRPr="005F1294" w:rsidRDefault="005F1294" w:rsidP="005F1294">
            <w:pPr>
              <w:spacing w:after="0" w:line="240" w:lineRule="auto"/>
              <w:ind w:right="-108"/>
              <w:rPr>
                <w:rFonts w:ascii="Century Bash" w:eastAsia="Times New Roman" w:hAnsi="Century Bash" w:cs="Times New Roman"/>
                <w:b/>
                <w:bCs/>
                <w:sz w:val="20"/>
                <w:szCs w:val="20"/>
              </w:rPr>
            </w:pPr>
          </w:p>
          <w:p w14:paraId="0469A260" w14:textId="77777777" w:rsidR="005F1294" w:rsidRPr="005F1294" w:rsidRDefault="005F1294" w:rsidP="005F1294">
            <w:pPr>
              <w:spacing w:after="0" w:line="240" w:lineRule="auto"/>
              <w:ind w:right="-108"/>
              <w:rPr>
                <w:rFonts w:ascii="Century Bash" w:eastAsia="Times New Roman" w:hAnsi="Century Bash" w:cs="Times New Roman"/>
                <w:b/>
                <w:bCs/>
                <w:sz w:val="20"/>
                <w:szCs w:val="20"/>
              </w:rPr>
            </w:pPr>
            <w:r w:rsidRPr="005F1294">
              <w:rPr>
                <w:rFonts w:ascii="Century Bash" w:eastAsia="Times New Roman" w:hAnsi="Century Bash" w:cs="Times New Roman"/>
                <w:b/>
                <w:bCs/>
                <w:sz w:val="20"/>
                <w:szCs w:val="20"/>
              </w:rPr>
              <w:t>БАШ</w:t>
            </w:r>
            <w:r w:rsidRPr="005F1294">
              <w:rPr>
                <w:rFonts w:ascii="Century Bash" w:eastAsia="Times New Roman" w:hAnsi="Century Bash" w:cs="Times New Roman"/>
                <w:b/>
                <w:bCs/>
                <w:sz w:val="20"/>
                <w:szCs w:val="20"/>
                <w:lang w:val="en-US"/>
              </w:rPr>
              <w:t>K</w:t>
            </w:r>
            <w:proofErr w:type="gramStart"/>
            <w:r w:rsidRPr="005F1294">
              <w:rPr>
                <w:rFonts w:ascii="Century Bash" w:eastAsia="Times New Roman" w:hAnsi="Century Bash" w:cs="Times New Roman"/>
                <w:b/>
                <w:bCs/>
                <w:sz w:val="20"/>
                <w:szCs w:val="20"/>
              </w:rPr>
              <w:t>ОРТОСТАН  РЕСПУБЛИКА</w:t>
            </w:r>
            <w:proofErr w:type="gramEnd"/>
            <w:r w:rsidRPr="005F1294">
              <w:rPr>
                <w:rFonts w:ascii="Century Bash" w:eastAsia="Times New Roman" w:hAnsi="Century Bash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5F1294">
              <w:rPr>
                <w:rFonts w:ascii="Century Bash" w:eastAsia="Times New Roman" w:hAnsi="Century Bash" w:cs="Times New Roman"/>
                <w:b/>
                <w:bCs/>
                <w:sz w:val="20"/>
                <w:szCs w:val="20"/>
              </w:rPr>
              <w:t>Ы</w:t>
            </w:r>
          </w:p>
          <w:p w14:paraId="6386FEF6" w14:textId="77777777" w:rsidR="005F1294" w:rsidRPr="005F1294" w:rsidRDefault="005F1294" w:rsidP="005F1294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/>
              </w:rPr>
            </w:pPr>
            <w:r w:rsidRPr="005F1294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</w:rPr>
              <w:t>Я</w:t>
            </w:r>
            <w:r w:rsidRPr="005F1294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en-US"/>
              </w:rPr>
              <w:t>N</w:t>
            </w:r>
            <w:proofErr w:type="gramStart"/>
            <w:r w:rsidRPr="005F1294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</w:rPr>
              <w:t>АУЫЛ  РАЙОНЫ</w:t>
            </w:r>
            <w:proofErr w:type="gramEnd"/>
            <w:r w:rsidRPr="005F1294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</w:p>
          <w:p w14:paraId="4CF00526" w14:textId="77777777" w:rsidR="005F1294" w:rsidRPr="005F1294" w:rsidRDefault="005F1294" w:rsidP="005F1294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</w:rPr>
            </w:pPr>
            <w:r w:rsidRPr="005F1294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</w:rPr>
              <w:t>МУНИЦИПАЛЬ РАЙОНЫНЫ</w:t>
            </w:r>
            <w:r w:rsidRPr="005F1294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en-US"/>
              </w:rPr>
              <w:t>N</w:t>
            </w:r>
          </w:p>
          <w:p w14:paraId="2F025E38" w14:textId="77777777" w:rsidR="005F1294" w:rsidRPr="005F1294" w:rsidRDefault="005F1294" w:rsidP="005F1294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</w:rPr>
            </w:pPr>
            <w:r w:rsidRPr="005F1294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</w:rPr>
              <w:t>Я</w:t>
            </w:r>
            <w:r w:rsidRPr="005F1294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en-US"/>
              </w:rPr>
              <w:t>N</w:t>
            </w:r>
            <w:r w:rsidRPr="005F1294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</w:rPr>
              <w:t>Ы УРТАУЫЛ АУЫЛ СОВ</w:t>
            </w:r>
            <w:r w:rsidRPr="005F1294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/>
              </w:rPr>
              <w:t>Е</w:t>
            </w:r>
            <w:r w:rsidRPr="005F1294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</w:rPr>
              <w:t>ТЫ</w:t>
            </w:r>
          </w:p>
          <w:p w14:paraId="08E554E7" w14:textId="77777777" w:rsidR="005F1294" w:rsidRPr="005F1294" w:rsidRDefault="005F1294" w:rsidP="005F1294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</w:rPr>
            </w:pPr>
            <w:r w:rsidRPr="005F1294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proofErr w:type="gramStart"/>
            <w:r w:rsidRPr="005F1294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</w:rPr>
              <w:t>АУЫЛ  БИЛ</w:t>
            </w:r>
            <w:proofErr w:type="gramEnd"/>
            <w:r w:rsidRPr="005F1294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en-US"/>
              </w:rPr>
              <w:t>E</w:t>
            </w:r>
            <w:r w:rsidRPr="005F1294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</w:rPr>
              <w:t>М</w:t>
            </w:r>
            <w:r w:rsidRPr="005F1294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en-US"/>
              </w:rPr>
              <w:t>EH</w:t>
            </w:r>
            <w:r w:rsidRPr="005F1294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</w:rPr>
              <w:t xml:space="preserve">Е </w:t>
            </w:r>
          </w:p>
          <w:p w14:paraId="60F6CB20" w14:textId="77777777" w:rsidR="005F1294" w:rsidRPr="005F1294" w:rsidRDefault="005F1294" w:rsidP="005F1294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</w:rPr>
            </w:pPr>
            <w:r w:rsidRPr="005F1294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</w:rPr>
              <w:t>ХАКИМИ</w:t>
            </w:r>
            <w:r w:rsidRPr="005F1294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en-US"/>
              </w:rPr>
              <w:t>E</w:t>
            </w:r>
            <w:r w:rsidRPr="005F1294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</w:rPr>
              <w:t>ТЕ</w:t>
            </w:r>
          </w:p>
          <w:p w14:paraId="76DB8714" w14:textId="77777777" w:rsidR="005F1294" w:rsidRPr="005F1294" w:rsidRDefault="005F1294" w:rsidP="005F1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5ED9FF27" w14:textId="77777777" w:rsidR="005F1294" w:rsidRPr="005F1294" w:rsidRDefault="005F1294" w:rsidP="005F12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294">
              <w:rPr>
                <w:rFonts w:ascii="Century Bash" w:eastAsia="Times New Roman" w:hAnsi="Century Bash" w:cs="Times New Roman"/>
                <w:noProof/>
                <w:sz w:val="24"/>
                <w:szCs w:val="28"/>
              </w:rPr>
              <w:drawing>
                <wp:inline distT="0" distB="0" distL="0" distR="0" wp14:anchorId="2E94A532" wp14:editId="17923394">
                  <wp:extent cx="800100" cy="1095375"/>
                  <wp:effectExtent l="0" t="0" r="0" b="9525"/>
                  <wp:docPr id="2" name="Рисунок 2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6C1E62CB" w14:textId="77777777" w:rsidR="005F1294" w:rsidRPr="005F1294" w:rsidRDefault="005F1294" w:rsidP="005F1294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</w:rPr>
            </w:pPr>
          </w:p>
          <w:p w14:paraId="64C0E79A" w14:textId="77777777" w:rsidR="005F1294" w:rsidRPr="005F1294" w:rsidRDefault="005F1294" w:rsidP="005F1294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sz w:val="20"/>
                <w:szCs w:val="20"/>
              </w:rPr>
            </w:pPr>
            <w:r w:rsidRPr="005F1294">
              <w:rPr>
                <w:rFonts w:ascii="Century Bash" w:eastAsia="Times New Roman" w:hAnsi="Century Bash" w:cs="Times New Roman"/>
                <w:b/>
                <w:sz w:val="20"/>
                <w:szCs w:val="20"/>
              </w:rPr>
              <w:t xml:space="preserve"> АДМИНИСТРАЦИЯ</w:t>
            </w:r>
          </w:p>
          <w:p w14:paraId="5781E17A" w14:textId="77777777" w:rsidR="005F1294" w:rsidRPr="005F1294" w:rsidRDefault="005F1294" w:rsidP="005F1294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sz w:val="20"/>
                <w:szCs w:val="20"/>
              </w:rPr>
            </w:pPr>
            <w:r w:rsidRPr="005F1294">
              <w:rPr>
                <w:rFonts w:ascii="Century Bash" w:eastAsia="Times New Roman" w:hAnsi="Century Bash" w:cs="Times New Roman"/>
                <w:b/>
                <w:sz w:val="20"/>
                <w:szCs w:val="20"/>
              </w:rPr>
              <w:t>СЕЛЬСКОГО ПОСЕЛЕНИЯ</w:t>
            </w:r>
          </w:p>
          <w:p w14:paraId="2CB3D9B1" w14:textId="77777777" w:rsidR="005F1294" w:rsidRPr="005F1294" w:rsidRDefault="005F1294" w:rsidP="005F1294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sz w:val="20"/>
                <w:szCs w:val="20"/>
              </w:rPr>
            </w:pPr>
            <w:r w:rsidRPr="005F1294">
              <w:rPr>
                <w:rFonts w:ascii="Century Bash" w:eastAsia="Times New Roman" w:hAnsi="Century Bash" w:cs="Times New Roman"/>
                <w:b/>
                <w:sz w:val="20"/>
                <w:szCs w:val="20"/>
              </w:rPr>
              <w:t xml:space="preserve">НОВОАРТАУЛЬСКИЙ СЕЛЬСОВЕТ </w:t>
            </w:r>
            <w:proofErr w:type="gramStart"/>
            <w:r w:rsidRPr="005F1294">
              <w:rPr>
                <w:rFonts w:ascii="Century Bash" w:eastAsia="Times New Roman" w:hAnsi="Century Bash" w:cs="Times New Roman"/>
                <w:b/>
                <w:sz w:val="20"/>
                <w:szCs w:val="20"/>
              </w:rPr>
              <w:t>МУНИЦИПАЛЬНОГО  РАЙОНА</w:t>
            </w:r>
            <w:proofErr w:type="gramEnd"/>
          </w:p>
          <w:p w14:paraId="0AB32303" w14:textId="77777777" w:rsidR="005F1294" w:rsidRPr="005F1294" w:rsidRDefault="005F1294" w:rsidP="005F1294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sz w:val="20"/>
                <w:szCs w:val="20"/>
              </w:rPr>
            </w:pPr>
            <w:r w:rsidRPr="005F1294">
              <w:rPr>
                <w:rFonts w:ascii="Century Bash" w:eastAsia="Times New Roman" w:hAnsi="Century Bash" w:cs="Times New Roman"/>
                <w:b/>
                <w:sz w:val="20"/>
                <w:szCs w:val="20"/>
              </w:rPr>
              <w:t xml:space="preserve">ЯНАУЛЬСКИЙ РАЙОН </w:t>
            </w:r>
          </w:p>
          <w:p w14:paraId="1552D70D" w14:textId="77777777" w:rsidR="005F1294" w:rsidRPr="005F1294" w:rsidRDefault="005F1294" w:rsidP="005F1294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sz w:val="20"/>
                <w:szCs w:val="20"/>
              </w:rPr>
            </w:pPr>
            <w:r w:rsidRPr="005F1294">
              <w:rPr>
                <w:rFonts w:ascii="Century Bash" w:eastAsia="Times New Roman" w:hAnsi="Century Bash" w:cs="Times New Roman"/>
                <w:b/>
                <w:sz w:val="20"/>
                <w:szCs w:val="20"/>
              </w:rPr>
              <w:t>РЕСПУБЛИКИ   БАШКОРТОСТАН</w:t>
            </w:r>
          </w:p>
          <w:p w14:paraId="2610C09A" w14:textId="77777777" w:rsidR="005F1294" w:rsidRPr="005F1294" w:rsidRDefault="005F1294" w:rsidP="005F129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97895CB" w14:textId="77777777" w:rsidR="005F1294" w:rsidRPr="005F1294" w:rsidRDefault="005F1294" w:rsidP="005F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17580D" w14:textId="77777777" w:rsidR="005F1294" w:rsidRPr="005F1294" w:rsidRDefault="005F1294" w:rsidP="005F1294">
      <w:pPr>
        <w:spacing w:after="0" w:line="240" w:lineRule="auto"/>
        <w:ind w:right="-42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294">
        <w:rPr>
          <w:rFonts w:ascii="Times New Roman" w:eastAsia="Times New Roman" w:hAnsi="Times New Roman" w:cs="Times New Roman"/>
          <w:b/>
          <w:sz w:val="28"/>
          <w:szCs w:val="28"/>
        </w:rPr>
        <w:t>КАРАР                                                                                   ПОСТАНОВЛЕНИЕ</w:t>
      </w:r>
    </w:p>
    <w:p w14:paraId="4499B341" w14:textId="77777777" w:rsidR="005F1294" w:rsidRPr="005F1294" w:rsidRDefault="005F1294" w:rsidP="005F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7E97DC" w14:textId="0F05A552" w:rsidR="005F1294" w:rsidRPr="005F1294" w:rsidRDefault="005F1294" w:rsidP="005F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294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1294">
        <w:rPr>
          <w:rFonts w:ascii="Times New Roman" w:eastAsia="Times New Roman" w:hAnsi="Times New Roman" w:cs="Times New Roman"/>
          <w:sz w:val="28"/>
          <w:szCs w:val="28"/>
        </w:rPr>
        <w:t xml:space="preserve"> февраль 2024 й.                                 </w:t>
      </w:r>
      <w:proofErr w:type="gramStart"/>
      <w:r w:rsidRPr="005F1294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proofErr w:type="gramEnd"/>
      <w:r w:rsidRPr="005F1294">
        <w:rPr>
          <w:rFonts w:ascii="Times New Roman" w:eastAsia="Times New Roman" w:hAnsi="Times New Roman" w:cs="Times New Roman"/>
          <w:sz w:val="28"/>
          <w:szCs w:val="28"/>
        </w:rPr>
        <w:t xml:space="preserve">                     01  февраля 2024 г.</w:t>
      </w:r>
    </w:p>
    <w:p w14:paraId="7015A8AF" w14:textId="77777777" w:rsidR="001716F6" w:rsidRDefault="001716F6" w:rsidP="00F016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11D4AE" w14:textId="77777777" w:rsidR="005F1294" w:rsidRDefault="00F0168D" w:rsidP="00F016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5596761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Программы профилактики рисков причинения вреда (ущерба) охраняемых законом ценностям </w:t>
      </w:r>
    </w:p>
    <w:p w14:paraId="380EFD4B" w14:textId="66A402F1" w:rsidR="00F0168D" w:rsidRDefault="00F0168D" w:rsidP="00F016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сфере благоустройства на 202</w:t>
      </w:r>
      <w:r w:rsidR="001716F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17EF4D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C1E113" w14:textId="77777777" w:rsidR="001716F6" w:rsidRDefault="00F0168D" w:rsidP="00F01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Федерального закона от 6 октября 2003 года № 131-ФЗ "Об общих принципах организации местного самоуправления в Российской Федерации" руководствуясь статьёй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руководствуясь Уставом сельского поселения Новоартаульский сельсовет  муниципального района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 </w:t>
      </w:r>
    </w:p>
    <w:p w14:paraId="5B443AA2" w14:textId="07D03D07" w:rsidR="00F0168D" w:rsidRDefault="00F0168D" w:rsidP="00F01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 О С Т А Н О В Л Я Ю:</w:t>
      </w:r>
    </w:p>
    <w:p w14:paraId="638A34A3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123E9C" w14:textId="014CF068" w:rsidR="00F0168D" w:rsidRDefault="00F0168D" w:rsidP="00F0168D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прилагаемую программу профилактики рисков причинения вреда (ущерба) охраняемых законом ценностям в сфере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 сельского поселения Новоартаульский сельсовет муниципального района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 Республики Башкортостан на 202</w:t>
      </w:r>
      <w:r w:rsidR="001716F6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(приложение)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F8C800" w14:textId="77777777" w:rsidR="00F0168D" w:rsidRDefault="00F0168D" w:rsidP="00F0168D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официальном сайте администрации сельского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 Новоартаульский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 в информационно-телекоммуникационной сети «Интернет».</w:t>
      </w:r>
    </w:p>
    <w:p w14:paraId="291DA655" w14:textId="77777777" w:rsidR="00F0168D" w:rsidRDefault="00F0168D" w:rsidP="00F0168D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14:paraId="7182C7F1" w14:textId="77777777" w:rsidR="00F0168D" w:rsidRDefault="00F0168D" w:rsidP="00F0168D">
      <w:pPr>
        <w:tabs>
          <w:tab w:val="left" w:pos="4180"/>
          <w:tab w:val="left" w:pos="4400"/>
          <w:tab w:val="left" w:pos="4620"/>
          <w:tab w:val="left" w:pos="48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3D6A2D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1F237A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A0E514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И.Ф.Шайхутдинова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480D728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A75919" w14:textId="3A4D646F" w:rsidR="001716F6" w:rsidRDefault="001716F6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12C66C" w14:textId="77777777" w:rsidR="008346BC" w:rsidRDefault="008346BC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14:paraId="07A40AC3" w14:textId="77777777" w:rsidR="005F1294" w:rsidRDefault="005F1294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F81B2C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374B8A" w14:textId="77777777" w:rsidR="00F0168D" w:rsidRDefault="00F0168D" w:rsidP="00F0168D">
      <w:pPr>
        <w:tabs>
          <w:tab w:val="left" w:pos="4180"/>
          <w:tab w:val="left" w:pos="4840"/>
        </w:tabs>
        <w:spacing w:after="0" w:line="240" w:lineRule="auto"/>
        <w:ind w:firstLineChars="1728" w:firstLine="483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2259BDFC" w14:textId="77777777" w:rsidR="00F0168D" w:rsidRDefault="00F0168D" w:rsidP="00F0168D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14:paraId="67DA1FA5" w14:textId="77777777" w:rsidR="00F0168D" w:rsidRDefault="00F0168D" w:rsidP="00F0168D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Новоартаульский сельсовет муниципального района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</w:p>
    <w:p w14:paraId="35FCF880" w14:textId="77777777" w:rsidR="00F0168D" w:rsidRDefault="00F0168D" w:rsidP="00F0168D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</w:p>
    <w:p w14:paraId="44D60E22" w14:textId="7018FE16" w:rsidR="00F0168D" w:rsidRDefault="00F0168D" w:rsidP="001716F6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proofErr w:type="gramStart"/>
      <w:r w:rsidR="005F1294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F1294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proofErr w:type="gramEnd"/>
      <w:r w:rsidR="005F1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71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171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29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71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62E8FAB4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E6A8C1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E4B408" w14:textId="7EBE50F3" w:rsidR="00F0168D" w:rsidRPr="008B7EE4" w:rsidRDefault="00F0168D" w:rsidP="00F016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профилактики рисков причинения вреда (ущерба) охраняемых законом ценностям при осуществлении муниципального контроля в сфере благоустройства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сельского поселения Новоартаульский сельсовет муниципального района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 Республики Башкортостан на 202</w:t>
      </w:r>
      <w:r w:rsidR="001716F6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0DDB4810" w14:textId="77777777" w:rsidR="00F0168D" w:rsidRDefault="00F0168D" w:rsidP="00F01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684749" w14:textId="77777777" w:rsidR="00F0168D" w:rsidRDefault="00F0168D" w:rsidP="00F01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контроля.</w:t>
      </w:r>
    </w:p>
    <w:p w14:paraId="2B837B36" w14:textId="77777777" w:rsidR="00F0168D" w:rsidRDefault="00F0168D" w:rsidP="00F01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профилактике рисков причинения вреда (ущерба) охраняемым законом ценностям при осуществлении муниципального контроля в сфере благоустройства (далее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 в рамках  осуществления муниципального контроля  в сфере благоустройства (далее - муниципальный контроль).</w:t>
      </w:r>
    </w:p>
    <w:p w14:paraId="6E1A893A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F6245" w14:textId="77777777" w:rsidR="00F0168D" w:rsidRDefault="00F0168D" w:rsidP="00F0168D">
      <w:pPr>
        <w:numPr>
          <w:ilvl w:val="0"/>
          <w:numId w:val="2"/>
        </w:num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  текущего состояния осуществления муниципального контроля и характеристика проблем на решение которых направлена Программа</w:t>
      </w:r>
    </w:p>
    <w:p w14:paraId="6839AFA1" w14:textId="77777777" w:rsidR="00F0168D" w:rsidRDefault="00F0168D" w:rsidP="00F016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813A708" w14:textId="77777777" w:rsidR="00F0168D" w:rsidRDefault="00F0168D" w:rsidP="00F0168D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сельского поселения Новоартаульский сельсовет муниципального района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 Республики Башкортостан является: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4FB94D3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юридическими лицами, индивидуальными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предпринимателями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физическими лицами обязательных требований, установленных законами  и иными  правовыми актами Российской Федерации, законами и иными правовыми актами Республики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Башкортостан, правовыми актами Администрации сельского поселения Новоартаульский сельсовет  и правилами благоустройства за нарушение которых законодательством Российской Федерации. Законодательством республики Башкортостан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предусмотрена  административная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ответственность; </w:t>
      </w:r>
    </w:p>
    <w:p w14:paraId="72896852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контролируемыми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содержащихся  в разрешительных  документах, и требований документов, исполнение которых является необходимым в соответствии с законодательством  Российской Федерации; исполнение контролируемыми  лицами решений, принимаемых по результатам контрольных мероприятий.</w:t>
      </w:r>
    </w:p>
    <w:p w14:paraId="1C7413CB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Администрация сельского поселения Новоартаульский сельсовет муниципального района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 Республики Башкортостан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 в сфере благоустройства за соблюдением  Правил благоустройства. </w:t>
      </w:r>
      <w:r>
        <w:rPr>
          <w:rFonts w:ascii="Times New Roman" w:hAnsi="Times New Roman" w:cs="Times New Roman"/>
          <w:sz w:val="28"/>
          <w:szCs w:val="28"/>
        </w:rPr>
        <w:tab/>
        <w:t xml:space="preserve">Объектами муниципального контроля является: территория различного функционального назначения, на которых осуществляется деятельность по благоустройству, а также элементы благоустройства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Новоартаульский сельсовет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C280BEB" w14:textId="77777777" w:rsidR="00F0168D" w:rsidRDefault="00F0168D" w:rsidP="00F01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оценки и управления с рисками при осуществлении муниципального контроля не применяется в силу части 7, статьи 22, Федерального закона от 31.07.2021г. № 248-ФЗ «О государственном контроле (надзоре) и муниципальном контроле в Российской Федерации».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175E008E" w14:textId="6A7E2567" w:rsidR="00F0168D" w:rsidRDefault="00F0168D" w:rsidP="00F01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Новоартаульский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месяцев 202</w:t>
      </w:r>
      <w:r w:rsidR="001716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0C47F452" w14:textId="07EC5F9B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</w:t>
      </w:r>
      <w:r w:rsidR="001716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14:paraId="3F74B220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7AE24246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 и задачи реализации Программы</w:t>
      </w:r>
    </w:p>
    <w:p w14:paraId="551570AA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1. Целями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328FFFB4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сельского поселения Новоартаульский сельсовет муниципального района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 Республики Башкортостан.</w:t>
      </w:r>
    </w:p>
    <w:p w14:paraId="59515CFA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предотвращение угрозы причинения, либо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причинения  вреда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(ущерба) в следствии нарушений  обязательных требований;</w:t>
      </w:r>
    </w:p>
    <w:p w14:paraId="2168D2B1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устранение потенциальных существующих условий, причин и факторов, способных привести к нарушениям обязательных требований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угрозе 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либо причинения  вреда (ущерба) охраняемым законом ценностям;</w:t>
      </w:r>
    </w:p>
    <w:p w14:paraId="4D678B0B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моделей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  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добросовестного, правого  поведения контролируемых лиц;</w:t>
      </w:r>
    </w:p>
    <w:p w14:paraId="184E0E6C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058C0E85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915AA27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F2D8FF4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размера ущерба, причиняемого охраняемым законом ценностям;</w:t>
      </w:r>
    </w:p>
    <w:p w14:paraId="11F8722A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контрольной деятельности.</w:t>
      </w:r>
    </w:p>
    <w:p w14:paraId="034065BE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8BCB24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Задачами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5FD08DD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возможностей угрозы причинения, либо причинения вреда(ущерба),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выработка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реализация профилактических мер, способствующих ее снижения;</w:t>
      </w:r>
    </w:p>
    <w:p w14:paraId="5749B62A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факторов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угрозы 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либо  причинения вреда, причин  и условий, способствующих нарушениям обязательных требований, определение способов устранения  или снижения угрозы; </w:t>
      </w:r>
    </w:p>
    <w:p w14:paraId="41DE45B8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состояния подконтрольной среды и установление зависимости видов,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интенсивности профилактических мероприятий от присвоенных контролируемым  лицам категорий риска;</w:t>
      </w:r>
    </w:p>
    <w:p w14:paraId="0725833B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5282AAD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благоустройства;</w:t>
      </w:r>
    </w:p>
    <w:p w14:paraId="30FA0A30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единого понимания обязательных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требований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участников контрольной деятельности;</w:t>
      </w:r>
    </w:p>
    <w:p w14:paraId="03659707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  грамотности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контролируемых лиц путем обеспечения доступности информации об обязательных требованиях и необходимых мерах по их исполнению</w:t>
      </w:r>
    </w:p>
    <w:p w14:paraId="6B5F94DF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Перечень профилактических мероприятий, сроки (периодичность) их проведения.                                                                                                          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126"/>
        <w:gridCol w:w="2693"/>
        <w:gridCol w:w="1701"/>
        <w:gridCol w:w="2126"/>
      </w:tblGrid>
      <w:tr w:rsidR="00F0168D" w14:paraId="51F5BF17" w14:textId="77777777" w:rsidTr="005F129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DF2B18" w14:textId="77777777" w:rsidR="00F0168D" w:rsidRDefault="00F0168D" w:rsidP="004143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  <w:p w14:paraId="288509C4" w14:textId="77777777" w:rsidR="00F0168D" w:rsidRDefault="00F0168D" w:rsidP="004143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D47A13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14:paraId="7C5BE485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5AB64E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10AF11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190C32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F0168D" w14:paraId="5D8F580E" w14:textId="77777777" w:rsidTr="005F129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B0C8F8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1AB659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14:paraId="23D24F86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17D54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1DB74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FCC61D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48F942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0168D" w14:paraId="55A93501" w14:textId="77777777" w:rsidTr="005F1294">
        <w:trPr>
          <w:trHeight w:val="5047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31ED52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6A53A2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14:paraId="1F173676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9100B7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14:paraId="4DD560FE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6DB6D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4C8E55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DFD3363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0168D" w14:paraId="1CF4BEA9" w14:textId="77777777" w:rsidTr="005F1294">
        <w:trPr>
          <w:trHeight w:val="308"/>
        </w:trPr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63519C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3EBD3E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правоприменитель-ной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9EEB8C2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Обобщение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правоприменительной  практики контрольной деятельности  в сфере благоустройства с классификацией причин возникновения типовых нарушений обязательных требований  и размещение доклада о правоприменительной практике на официальном сайте  администрации сельского поселения Новоартаульский сельсовет   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32BE06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не позднее 25 февраля года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годом  обобщения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правоприменительной  практики 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3B0B3F6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</w:tr>
      <w:tr w:rsidR="00F0168D" w14:paraId="4D9C3C4B" w14:textId="77777777" w:rsidTr="005F1294">
        <w:trPr>
          <w:trHeight w:val="198"/>
        </w:trPr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30826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9C80D5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1073BED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предостережений контролируемых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лицам 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целей принятия мер по обеспечению  соблюдения обязательных требований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92D70D" w14:textId="77777777" w:rsidR="00F0168D" w:rsidRDefault="00F0168D" w:rsidP="004143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550F38D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0168D" w14:paraId="28ACB20E" w14:textId="77777777" w:rsidTr="005F1294">
        <w:trPr>
          <w:trHeight w:val="182"/>
        </w:trPr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C1DB70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0C61DC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312E64D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информирование контролируемых лиц об обязательных требованиях, предъявляемых к его деятельности либо к его объектам муниципального контроль, а также о видах  содержании и об интенсивности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мероприятий, проводимых в отношении объекта муниципального контроля</w:t>
            </w:r>
          </w:p>
          <w:p w14:paraId="2719E659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6BE06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D4AFEA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квартал 2023 года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46D85A3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04379609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838DAA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Показатели результативности и эффективности Программы</w:t>
      </w:r>
    </w:p>
    <w:p w14:paraId="48DEAE04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21C6A194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C31613D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14:paraId="6D6C3D05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Количество выявленных нарушений требований законодательства в сфере благоустройства, шт.</w:t>
      </w:r>
    </w:p>
    <w:p w14:paraId="6C6DDD2D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14:paraId="4DCB0AFF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эффективности:</w:t>
      </w:r>
    </w:p>
    <w:p w14:paraId="0171B806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14:paraId="02AD7A6D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проведенных профилактических мероприятий контрольным (надзорным) органом, ед.</w:t>
      </w:r>
    </w:p>
    <w:p w14:paraId="543E5C92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Доля профилактических мероприятий в объеме контрольно-надзорных мероприятий, %.</w:t>
      </w:r>
    </w:p>
    <w:p w14:paraId="7772427C" w14:textId="77777777" w:rsidR="00F0168D" w:rsidRDefault="00F0168D" w:rsidP="00F0168D">
      <w:pPr>
        <w:spacing w:after="0"/>
        <w:ind w:firstLineChars="371" w:firstLine="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количества   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 </w:t>
      </w:r>
    </w:p>
    <w:p w14:paraId="756D80C9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Отчетным периодом для определения значений показателей является календарный год.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механизмом оценки эффективности и результативности профилактических материалов являются:</w:t>
      </w:r>
    </w:p>
    <w:p w14:paraId="04F29509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X="7599" w:tblpY="-2763"/>
        <w:tblOverlap w:val="never"/>
        <w:tblW w:w="0" w:type="auto"/>
        <w:tblLook w:val="04A0" w:firstRow="1" w:lastRow="0" w:firstColumn="1" w:lastColumn="0" w:noHBand="0" w:noVBand="1"/>
      </w:tblPr>
      <w:tblGrid>
        <w:gridCol w:w="2596"/>
      </w:tblGrid>
      <w:tr w:rsidR="00F0168D" w14:paraId="2B02445F" w14:textId="77777777" w:rsidTr="00414388">
        <w:trPr>
          <w:trHeight w:val="12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94C310A" w14:textId="77777777" w:rsidR="00F0168D" w:rsidRDefault="00F0168D" w:rsidP="0041438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1105AE08" w14:textId="77777777" w:rsidR="00F0168D" w:rsidRDefault="00F0168D" w:rsidP="00F01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оценка снижения количества нарушений юридическими лицами, индивидуальными предпринимателями и физическими лицами обязательных требований действующего законодательства;</w:t>
      </w:r>
    </w:p>
    <w:p w14:paraId="21F22141" w14:textId="77777777" w:rsidR="00F0168D" w:rsidRDefault="00F0168D" w:rsidP="00F01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повышение уровня информированности заинтересованных лиц;</w:t>
      </w:r>
    </w:p>
    <w:p w14:paraId="60F284DE" w14:textId="77777777" w:rsidR="00F0168D" w:rsidRDefault="00F0168D" w:rsidP="00F01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оценка увеличения доли законопослушных подконтрольных субъектов;</w:t>
      </w:r>
    </w:p>
    <w:p w14:paraId="52E012B6" w14:textId="77777777" w:rsidR="00F0168D" w:rsidRDefault="00F0168D" w:rsidP="00F01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анализ развития системы профилактических мероприятий муниципального контроля;</w:t>
      </w:r>
    </w:p>
    <w:p w14:paraId="793AB6B1" w14:textId="77777777" w:rsidR="00F0168D" w:rsidRDefault="00F0168D" w:rsidP="00F01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анализ эффективности внедрения различных способов профилактики;</w:t>
      </w:r>
    </w:p>
    <w:p w14:paraId="5C7F97B0" w14:textId="77777777" w:rsidR="00F0168D" w:rsidRDefault="00F0168D" w:rsidP="00F01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оценка повышения «прозрачности» деятельности муниципального контроля.</w:t>
      </w:r>
    </w:p>
    <w:p w14:paraId="25EB30A7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B637DB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89A772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Управляющий делами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А.Р.Бадретдинова</w:t>
      </w:r>
      <w:proofErr w:type="spellEnd"/>
    </w:p>
    <w:p w14:paraId="7AE9A6EA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54B6D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92287F" w14:textId="734060D8" w:rsidR="00060467" w:rsidRPr="001716F6" w:rsidRDefault="00060467" w:rsidP="00171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60467" w:rsidRPr="001716F6" w:rsidSect="005F1294">
      <w:headerReference w:type="default" r:id="rId8"/>
      <w:pgSz w:w="11906" w:h="16838"/>
      <w:pgMar w:top="567" w:right="1134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D8208" w14:textId="77777777" w:rsidR="00C274F2" w:rsidRDefault="00C274F2">
      <w:pPr>
        <w:spacing w:after="0" w:line="240" w:lineRule="auto"/>
      </w:pPr>
      <w:r>
        <w:separator/>
      </w:r>
    </w:p>
  </w:endnote>
  <w:endnote w:type="continuationSeparator" w:id="0">
    <w:p w14:paraId="285361C3" w14:textId="77777777" w:rsidR="00C274F2" w:rsidRDefault="00C2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D7D46" w14:textId="77777777" w:rsidR="00C274F2" w:rsidRDefault="00C274F2">
      <w:pPr>
        <w:spacing w:after="0" w:line="240" w:lineRule="auto"/>
      </w:pPr>
      <w:r>
        <w:separator/>
      </w:r>
    </w:p>
  </w:footnote>
  <w:footnote w:type="continuationSeparator" w:id="0">
    <w:p w14:paraId="2FF7536B" w14:textId="77777777" w:rsidR="00C274F2" w:rsidRDefault="00C2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657463"/>
    </w:sdtPr>
    <w:sdtEndPr>
      <w:rPr>
        <w:rFonts w:ascii="Times New Roman" w:hAnsi="Times New Roman" w:cs="Times New Roman"/>
        <w:sz w:val="24"/>
        <w:szCs w:val="24"/>
      </w:rPr>
    </w:sdtEndPr>
    <w:sdtContent>
      <w:p w14:paraId="4B2D4455" w14:textId="77777777" w:rsidR="00D51B40" w:rsidRDefault="00C274F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2E378"/>
    <w:multiLevelType w:val="singleLevel"/>
    <w:tmpl w:val="20A2E37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B110222"/>
    <w:multiLevelType w:val="multilevel"/>
    <w:tmpl w:val="7B110222"/>
    <w:lvl w:ilvl="0">
      <w:start w:val="1"/>
      <w:numFmt w:val="decimal"/>
      <w:lvlText w:val="%1."/>
      <w:lvlJc w:val="left"/>
      <w:pPr>
        <w:ind w:left="1637" w:hanging="10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0E"/>
    <w:rsid w:val="00060467"/>
    <w:rsid w:val="001716F6"/>
    <w:rsid w:val="0027200E"/>
    <w:rsid w:val="005F1294"/>
    <w:rsid w:val="006A6311"/>
    <w:rsid w:val="008346BC"/>
    <w:rsid w:val="00C274F2"/>
    <w:rsid w:val="00CF21F8"/>
    <w:rsid w:val="00F0168D"/>
    <w:rsid w:val="00F5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FF47"/>
  <w15:chartTrackingRefBased/>
  <w15:docId w15:val="{3CCB6C2E-BC91-4E88-9C87-4F91BB4B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6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01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F0168D"/>
    <w:rPr>
      <w:rFonts w:eastAsiaTheme="minorEastAsia"/>
      <w:lang w:eastAsia="ru-RU"/>
    </w:rPr>
  </w:style>
  <w:style w:type="table" w:styleId="a5">
    <w:name w:val="Table Grid"/>
    <w:basedOn w:val="a1"/>
    <w:uiPriority w:val="59"/>
    <w:qFormat/>
    <w:rsid w:val="00F0168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16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68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Шайхутдинова И.Ф. Новоартаульский сельсовет</cp:lastModifiedBy>
  <cp:revision>6</cp:revision>
  <cp:lastPrinted>2024-03-04T12:25:00Z</cp:lastPrinted>
  <dcterms:created xsi:type="dcterms:W3CDTF">2023-02-28T04:15:00Z</dcterms:created>
  <dcterms:modified xsi:type="dcterms:W3CDTF">2024-03-04T12:26:00Z</dcterms:modified>
</cp:coreProperties>
</file>