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962"/>
        <w:tblW w:w="10188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728"/>
        <w:gridCol w:w="4320"/>
      </w:tblGrid>
      <w:tr w:rsidR="00647EA7" w:rsidRPr="00647EA7" w:rsidTr="00647EA7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47EA7" w:rsidRPr="00647EA7" w:rsidRDefault="00647EA7" w:rsidP="00647EA7">
            <w:pPr>
              <w:widowControl/>
              <w:spacing w:line="276" w:lineRule="auto"/>
              <w:ind w:right="-108"/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:rsidR="00647EA7" w:rsidRPr="00647EA7" w:rsidRDefault="00647EA7" w:rsidP="00647EA7">
            <w:pPr>
              <w:widowControl/>
              <w:spacing w:line="276" w:lineRule="auto"/>
              <w:ind w:right="-108"/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  <w:lang w:eastAsia="en-US"/>
              </w:rPr>
              <w:t>БАШ</w:t>
            </w:r>
            <w:proofErr w:type="gramStart"/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K</w:t>
            </w:r>
            <w:proofErr w:type="gramEnd"/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  <w:lang w:eastAsia="en-US"/>
              </w:rPr>
              <w:t>ОРТОСТАН  РЕСПУБЛИКА</w:t>
            </w:r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H</w:t>
            </w:r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  <w:lang w:eastAsia="en-US"/>
              </w:rPr>
              <w:t>Ы</w:t>
            </w:r>
          </w:p>
          <w:p w:rsidR="00647EA7" w:rsidRPr="00647EA7" w:rsidRDefault="00647EA7" w:rsidP="00647EA7">
            <w:pPr>
              <w:widowControl/>
              <w:spacing w:line="276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tt-RU" w:eastAsia="en-US"/>
              </w:rPr>
            </w:pPr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  <w:t>Я</w:t>
            </w:r>
            <w:proofErr w:type="gramStart"/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en-US" w:eastAsia="en-US"/>
              </w:rPr>
              <w:t>N</w:t>
            </w:r>
            <w:proofErr w:type="gramEnd"/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  <w:t xml:space="preserve">АУЫЛ  РАЙОНЫ </w:t>
            </w:r>
          </w:p>
          <w:p w:rsidR="00647EA7" w:rsidRPr="00647EA7" w:rsidRDefault="00647EA7" w:rsidP="00647EA7">
            <w:pPr>
              <w:widowControl/>
              <w:spacing w:line="276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</w:pPr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  <w:t>МУНИЦИПАЛЬ РАЙОНЫНЫ</w:t>
            </w:r>
            <w:proofErr w:type="gramStart"/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en-US" w:eastAsia="en-US"/>
              </w:rPr>
              <w:t>N</w:t>
            </w:r>
            <w:proofErr w:type="gramEnd"/>
          </w:p>
          <w:p w:rsidR="00647EA7" w:rsidRPr="00647EA7" w:rsidRDefault="00647EA7" w:rsidP="00647EA7">
            <w:pPr>
              <w:widowControl/>
              <w:spacing w:line="276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</w:pPr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  <w:t>Я</w:t>
            </w:r>
            <w:proofErr w:type="gramStart"/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en-US" w:eastAsia="en-US"/>
              </w:rPr>
              <w:t>N</w:t>
            </w:r>
            <w:proofErr w:type="gramEnd"/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  <w:t>Ы УРТАУЫЛ АУЫЛ СОВ</w:t>
            </w:r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tt-RU" w:eastAsia="en-US"/>
              </w:rPr>
              <w:t>Е</w:t>
            </w:r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  <w:t>ТЫ</w:t>
            </w:r>
          </w:p>
          <w:p w:rsidR="00647EA7" w:rsidRPr="00647EA7" w:rsidRDefault="00647EA7" w:rsidP="00647EA7">
            <w:pPr>
              <w:widowControl/>
              <w:spacing w:line="276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</w:pPr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  <w:t xml:space="preserve"> АУЫЛ  БИЛ</w:t>
            </w:r>
            <w:proofErr w:type="gramStart"/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en-US" w:eastAsia="en-US"/>
              </w:rPr>
              <w:t>E</w:t>
            </w:r>
            <w:proofErr w:type="gramEnd"/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  <w:t>М</w:t>
            </w:r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en-US" w:eastAsia="en-US"/>
              </w:rPr>
              <w:t>EH</w:t>
            </w:r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  <w:t xml:space="preserve">Е </w:t>
            </w:r>
          </w:p>
          <w:p w:rsidR="00647EA7" w:rsidRPr="00647EA7" w:rsidRDefault="00647EA7" w:rsidP="00647EA7">
            <w:pPr>
              <w:widowControl/>
              <w:spacing w:line="276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</w:pPr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  <w:t>ХАКИМИ</w:t>
            </w:r>
            <w:proofErr w:type="gramStart"/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en-US" w:eastAsia="en-US"/>
              </w:rPr>
              <w:t>E</w:t>
            </w:r>
            <w:proofErr w:type="gramEnd"/>
            <w:r w:rsidRPr="00647EA7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eastAsia="en-US"/>
              </w:rPr>
              <w:t>ТЕ</w:t>
            </w:r>
          </w:p>
          <w:p w:rsidR="00647EA7" w:rsidRPr="00647EA7" w:rsidRDefault="00647EA7" w:rsidP="00647EA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647EA7" w:rsidRPr="00647EA7" w:rsidRDefault="00647EA7" w:rsidP="00647EA7">
            <w:pPr>
              <w:widowControl/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47EA7">
              <w:rPr>
                <w:rFonts w:ascii="Century Bash" w:eastAsia="Times New Roman" w:hAnsi="Century Bash" w:cs="Times New Roman"/>
                <w:noProof/>
                <w:color w:val="auto"/>
                <w:szCs w:val="28"/>
              </w:rPr>
              <w:drawing>
                <wp:inline distT="0" distB="0" distL="0" distR="0" wp14:anchorId="67D8B20B" wp14:editId="7F334EEC">
                  <wp:extent cx="800100" cy="1095375"/>
                  <wp:effectExtent l="0" t="0" r="0" b="9525"/>
                  <wp:docPr id="2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47EA7" w:rsidRPr="00647EA7" w:rsidRDefault="00647EA7" w:rsidP="00647EA7">
            <w:pPr>
              <w:widowControl/>
              <w:spacing w:line="276" w:lineRule="auto"/>
              <w:jc w:val="center"/>
              <w:rPr>
                <w:rFonts w:ascii="Century Bash" w:eastAsia="Times New Roman" w:hAnsi="Century Bash" w:cs="Times New Roman"/>
                <w:b/>
                <w:color w:val="auto"/>
                <w:lang w:eastAsia="en-US"/>
              </w:rPr>
            </w:pPr>
          </w:p>
          <w:p w:rsidR="00647EA7" w:rsidRPr="00647EA7" w:rsidRDefault="00647EA7" w:rsidP="00647EA7">
            <w:pPr>
              <w:widowControl/>
              <w:spacing w:line="276" w:lineRule="auto"/>
              <w:jc w:val="center"/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47EA7"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  <w:lang w:eastAsia="en-US"/>
              </w:rPr>
              <w:t xml:space="preserve"> АДМИНИСТРАЦИЯ</w:t>
            </w:r>
          </w:p>
          <w:p w:rsidR="00647EA7" w:rsidRPr="00647EA7" w:rsidRDefault="00647EA7" w:rsidP="00647EA7">
            <w:pPr>
              <w:widowControl/>
              <w:spacing w:line="276" w:lineRule="auto"/>
              <w:jc w:val="center"/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47EA7"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  <w:lang w:eastAsia="en-US"/>
              </w:rPr>
              <w:t>СЕЛЬСКОГО ПОСЕЛЕНИЯ</w:t>
            </w:r>
          </w:p>
          <w:p w:rsidR="00647EA7" w:rsidRPr="00647EA7" w:rsidRDefault="00647EA7" w:rsidP="00647EA7">
            <w:pPr>
              <w:widowControl/>
              <w:spacing w:line="276" w:lineRule="auto"/>
              <w:jc w:val="center"/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47EA7"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  <w:lang w:eastAsia="en-US"/>
              </w:rPr>
              <w:t>НОВОАРТАУЛЬСКИЙ СЕЛЬСОВЕТ МУНИЦИПАЛЬНОГО  РАЙОНА</w:t>
            </w:r>
          </w:p>
          <w:p w:rsidR="00647EA7" w:rsidRPr="00647EA7" w:rsidRDefault="00647EA7" w:rsidP="00647EA7">
            <w:pPr>
              <w:widowControl/>
              <w:spacing w:line="276" w:lineRule="auto"/>
              <w:jc w:val="center"/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47EA7"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  <w:lang w:eastAsia="en-US"/>
              </w:rPr>
              <w:t xml:space="preserve">ЯНАУЛЬСКИЙ РАЙОН </w:t>
            </w:r>
          </w:p>
          <w:p w:rsidR="00647EA7" w:rsidRPr="00647EA7" w:rsidRDefault="00647EA7" w:rsidP="00647EA7">
            <w:pPr>
              <w:widowControl/>
              <w:spacing w:line="276" w:lineRule="auto"/>
              <w:jc w:val="center"/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47EA7"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  <w:lang w:eastAsia="en-US"/>
              </w:rPr>
              <w:t>РЕСПУБЛИКИ   БАШКОРТОСТАН</w:t>
            </w:r>
          </w:p>
          <w:p w:rsidR="00647EA7" w:rsidRPr="00647EA7" w:rsidRDefault="00647EA7" w:rsidP="00647EA7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647EA7" w:rsidRPr="00647EA7" w:rsidRDefault="00647EA7" w:rsidP="00647EA7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47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ҠАРАР                                                                                 ПОСТАНОВЛЕНИЕ</w:t>
      </w:r>
    </w:p>
    <w:p w:rsidR="00647EA7" w:rsidRPr="00647EA7" w:rsidRDefault="00647EA7" w:rsidP="00647EA7">
      <w:pPr>
        <w:widowControl/>
        <w:tabs>
          <w:tab w:val="left" w:pos="7032"/>
        </w:tabs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0</w:t>
      </w:r>
      <w:r w:rsidRPr="00647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июнь </w:t>
      </w:r>
      <w:r w:rsidRPr="00647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2021 й.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№19                               0</w:t>
      </w:r>
      <w:r w:rsidRPr="00647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июня</w:t>
      </w:r>
      <w:r w:rsidRPr="00647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2021 г.</w:t>
      </w:r>
    </w:p>
    <w:p w:rsidR="00647EA7" w:rsidRPr="00647EA7" w:rsidRDefault="00647EA7" w:rsidP="00647EA7">
      <w:pPr>
        <w:widowControl/>
        <w:autoSpaceDE w:val="0"/>
        <w:autoSpaceDN w:val="0"/>
        <w:adjustRightInd w:val="0"/>
        <w:ind w:left="495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47EA7" w:rsidRPr="006B10ED" w:rsidRDefault="00647EA7" w:rsidP="00647EA7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proofErr w:type="gramStart"/>
      <w:r w:rsidRPr="006B10ED">
        <w:rPr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647EA7" w:rsidRPr="006B10ED" w:rsidRDefault="00647EA7" w:rsidP="00647EA7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647EA7" w:rsidRPr="006B10ED" w:rsidRDefault="00647EA7" w:rsidP="00647EA7">
      <w:pPr>
        <w:pStyle w:val="2"/>
        <w:shd w:val="clear" w:color="auto" w:fill="auto"/>
        <w:spacing w:line="293" w:lineRule="exact"/>
        <w:ind w:firstLine="567"/>
        <w:jc w:val="both"/>
        <w:rPr>
          <w:rStyle w:val="a5"/>
          <w:b w:val="0"/>
          <w:sz w:val="28"/>
          <w:szCs w:val="28"/>
        </w:rPr>
      </w:pPr>
      <w:r w:rsidRPr="006B10ED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 сельского поселения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B10ED">
        <w:rPr>
          <w:sz w:val="28"/>
          <w:szCs w:val="28"/>
        </w:rPr>
        <w:t xml:space="preserve">муниципального района </w:t>
      </w:r>
      <w:proofErr w:type="spellStart"/>
      <w:r w:rsidRPr="006B10ED">
        <w:rPr>
          <w:sz w:val="28"/>
          <w:szCs w:val="28"/>
        </w:rPr>
        <w:t>Янаульский</w:t>
      </w:r>
      <w:proofErr w:type="spellEnd"/>
      <w:r w:rsidRPr="006B10ED">
        <w:rPr>
          <w:sz w:val="28"/>
          <w:szCs w:val="28"/>
        </w:rPr>
        <w:t xml:space="preserve"> район Республики Башкортостан, Администрация сельского поселения  </w:t>
      </w:r>
      <w:proofErr w:type="spellStart"/>
      <w:r>
        <w:rPr>
          <w:sz w:val="28"/>
          <w:szCs w:val="28"/>
        </w:rPr>
        <w:t>Новоартаульский</w:t>
      </w:r>
      <w:proofErr w:type="spellEnd"/>
      <w:r>
        <w:rPr>
          <w:sz w:val="28"/>
          <w:szCs w:val="28"/>
        </w:rPr>
        <w:t xml:space="preserve"> </w:t>
      </w:r>
      <w:r w:rsidRPr="006B10ED">
        <w:rPr>
          <w:sz w:val="28"/>
          <w:szCs w:val="28"/>
        </w:rPr>
        <w:t xml:space="preserve">сельсовет муниципального района </w:t>
      </w:r>
      <w:proofErr w:type="spellStart"/>
      <w:r w:rsidRPr="006B10ED">
        <w:rPr>
          <w:sz w:val="28"/>
          <w:szCs w:val="28"/>
        </w:rPr>
        <w:t>Янаульский</w:t>
      </w:r>
      <w:proofErr w:type="spellEnd"/>
      <w:r w:rsidRPr="006B10ED"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rStyle w:val="a5"/>
          <w:b w:val="0"/>
          <w:sz w:val="28"/>
          <w:szCs w:val="28"/>
        </w:rPr>
        <w:t>п</w:t>
      </w:r>
      <w:proofErr w:type="gramEnd"/>
      <w:r>
        <w:rPr>
          <w:rStyle w:val="a5"/>
          <w:b w:val="0"/>
          <w:sz w:val="28"/>
          <w:szCs w:val="28"/>
        </w:rPr>
        <w:t xml:space="preserve"> о с т а н о в </w:t>
      </w:r>
      <w:proofErr w:type="gramStart"/>
      <w:r>
        <w:rPr>
          <w:rStyle w:val="a5"/>
          <w:b w:val="0"/>
          <w:sz w:val="28"/>
          <w:szCs w:val="28"/>
        </w:rPr>
        <w:t>л</w:t>
      </w:r>
      <w:proofErr w:type="gramEnd"/>
      <w:r>
        <w:rPr>
          <w:rStyle w:val="a5"/>
          <w:b w:val="0"/>
          <w:sz w:val="28"/>
          <w:szCs w:val="28"/>
        </w:rPr>
        <w:t xml:space="preserve"> я е т</w:t>
      </w:r>
      <w:r w:rsidRPr="006B10ED">
        <w:rPr>
          <w:rStyle w:val="a5"/>
          <w:b w:val="0"/>
          <w:sz w:val="28"/>
          <w:szCs w:val="28"/>
        </w:rPr>
        <w:t>:</w:t>
      </w:r>
    </w:p>
    <w:p w:rsidR="00647EA7" w:rsidRPr="006B10ED" w:rsidRDefault="00647EA7" w:rsidP="00647EA7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proofErr w:type="gramStart"/>
      <w:r w:rsidRPr="006B10ED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Pr="006B10ED">
        <w:rPr>
          <w:sz w:val="28"/>
          <w:szCs w:val="28"/>
        </w:rPr>
        <w:t xml:space="preserve"> </w:t>
      </w:r>
      <w:proofErr w:type="gramStart"/>
      <w:r w:rsidRPr="006B10ED">
        <w:rPr>
          <w:sz w:val="28"/>
          <w:szCs w:val="28"/>
        </w:rPr>
        <w:t>применяющим</w:t>
      </w:r>
      <w:proofErr w:type="gramEnd"/>
      <w:r w:rsidRPr="006B10ED">
        <w:rPr>
          <w:sz w:val="28"/>
          <w:szCs w:val="28"/>
        </w:rPr>
        <w:t xml:space="preserve"> специальный налоговый режим «Налог на профессиональный доход», согласно приложению.</w:t>
      </w:r>
    </w:p>
    <w:p w:rsidR="00647EA7" w:rsidRPr="0033328F" w:rsidRDefault="00647EA7" w:rsidP="00647E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Новоартаульский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Башкортостан, по адресу: 452826, РБ, 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район, с. Новый 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Артаул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ул. </w:t>
      </w:r>
      <w:proofErr w:type="gram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Центральная</w:t>
      </w:r>
      <w:proofErr w:type="gram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д.36 и разместить на  сайте  сельского поселения 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Новоартаульский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 муниципального района 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по адресу: </w:t>
      </w:r>
      <w:r w:rsidRPr="00647E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http</w:t>
      </w:r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novoartaul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47EA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 </w:t>
      </w:r>
    </w:p>
    <w:p w:rsidR="00647EA7" w:rsidRPr="0033328F" w:rsidRDefault="00647EA7" w:rsidP="00647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647EA7" w:rsidRPr="00647EA7" w:rsidRDefault="00647EA7" w:rsidP="00647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2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2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7EA7" w:rsidRPr="00647EA7" w:rsidRDefault="00647EA7" w:rsidP="00647EA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7EA7" w:rsidRPr="00647EA7" w:rsidRDefault="00647EA7" w:rsidP="00647EA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</w:p>
    <w:p w:rsidR="00647EA7" w:rsidRPr="00647EA7" w:rsidRDefault="00647EA7" w:rsidP="00647EA7">
      <w:pPr>
        <w:widowControl/>
        <w:rPr>
          <w:rFonts w:ascii="Times New Roman" w:eastAsia="Times New Roman" w:hAnsi="Times New Roman" w:cs="Times New Roman"/>
          <w:color w:val="auto"/>
        </w:rPr>
      </w:pPr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И.Ф. 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Шайхутдинова</w:t>
      </w:r>
      <w:proofErr w:type="spellEnd"/>
    </w:p>
    <w:p w:rsidR="00FF0EC8" w:rsidRPr="006B10ED" w:rsidRDefault="00FF0EC8" w:rsidP="00647EA7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7411B9" w:rsidRPr="002551E9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551E9" w:rsidRDefault="002551E9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47EA7">
        <w:rPr>
          <w:rFonts w:ascii="Times New Roman" w:hAnsi="Times New Roman" w:cs="Times New Roman"/>
          <w:sz w:val="24"/>
          <w:szCs w:val="24"/>
        </w:rPr>
        <w:t>Новоартаульский</w:t>
      </w:r>
      <w:proofErr w:type="spellEnd"/>
      <w:r w:rsidR="00647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47EA7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7EA7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EA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2021 года </w:t>
      </w:r>
    </w:p>
    <w:p w:rsidR="00AF2214" w:rsidRPr="00AF2214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37"/>
      <w:bookmarkEnd w:id="1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ограничено в обороте;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Новоартаульский</w:t>
      </w:r>
      <w:proofErr w:type="spellEnd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Янаульский</w:t>
      </w:r>
      <w:proofErr w:type="spell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 Республики Башкортостан о предоставлении его иным лицам;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признано аварийным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0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1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13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2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15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3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18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4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органа местного самоуправления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Новоартаульский</w:t>
      </w:r>
      <w:proofErr w:type="spellEnd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сельсовет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Янаульский</w:t>
      </w:r>
      <w:proofErr w:type="spellEnd"/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="00ED2395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 из перечня осуществляе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5E7F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Новоартаульский</w:t>
      </w:r>
      <w:proofErr w:type="spellEnd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сельсовет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предложений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Новоартаульский</w:t>
      </w:r>
      <w:proofErr w:type="spellEnd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Башкортостан, балансодержателя муниципального имущества,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муниципальными унитарными предприятиями,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муниципальными учреждениями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организаций, образующих инфраструктуру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Новоартаульский</w:t>
      </w:r>
      <w:proofErr w:type="spellEnd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в течение </w:t>
      </w:r>
      <w:r w:rsidR="00DD36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дней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представленные предложени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выносит их на рассмотрение </w:t>
      </w:r>
      <w:r w:rsidR="00AB2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специально созданную </w:t>
      </w:r>
      <w:r w:rsidR="008C7C4E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рабочую группу</w:t>
      </w:r>
      <w:r w:rsidR="00BF6725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06F9" w:rsidRPr="001606F9" w:rsidRDefault="001606F9" w:rsidP="001606F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трение предложения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абочей группой в течение 30 календарных дней </w:t>
      </w:r>
      <w:proofErr w:type="gramStart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его поступления. По результатам рассмотрения предложения Рабочей группой принимается одно из следующих решений: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AF2214" w:rsidRPr="00AF2214" w:rsidRDefault="001606F9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F2214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учете предложений.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решения о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перечень А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Новоартаульский</w:t>
      </w:r>
      <w:proofErr w:type="spellEnd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сельсовет 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принимает 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пост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ановле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изменений в перечень.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Сведения могут быть исключены из перечня, если: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Новоартаульский</w:t>
      </w:r>
      <w:proofErr w:type="spellEnd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</w:t>
      </w:r>
      <w:proofErr w:type="spell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Янаульский</w:t>
      </w:r>
      <w:proofErr w:type="spell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 Республики Башкортостан.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 </w:t>
      </w: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proofErr w:type="spellStart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Новоартаульский</w:t>
      </w:r>
      <w:proofErr w:type="spellEnd"/>
      <w:r w:rsidR="00647E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Янаульский</w:t>
      </w:r>
      <w:proofErr w:type="spell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пункте 2 настоящего Порядка.</w:t>
      </w:r>
    </w:p>
    <w:sectPr w:rsidR="00AF2214" w:rsidRPr="00AF2214" w:rsidSect="001415D8">
      <w:type w:val="continuous"/>
      <w:pgSz w:w="11909" w:h="16834"/>
      <w:pgMar w:top="1213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B1" w:rsidRDefault="001E43B1">
      <w:r>
        <w:separator/>
      </w:r>
    </w:p>
  </w:endnote>
  <w:endnote w:type="continuationSeparator" w:id="0">
    <w:p w:rsidR="001E43B1" w:rsidRDefault="001E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B1" w:rsidRDefault="001E43B1"/>
  </w:footnote>
  <w:footnote w:type="continuationSeparator" w:id="0">
    <w:p w:rsidR="001E43B1" w:rsidRDefault="001E43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1124"/>
    <w:rsid w:val="001415D8"/>
    <w:rsid w:val="001555B1"/>
    <w:rsid w:val="001606F9"/>
    <w:rsid w:val="001C0E53"/>
    <w:rsid w:val="001D0612"/>
    <w:rsid w:val="001E43B1"/>
    <w:rsid w:val="002551E9"/>
    <w:rsid w:val="002B77FB"/>
    <w:rsid w:val="002E3634"/>
    <w:rsid w:val="0033328F"/>
    <w:rsid w:val="00337A77"/>
    <w:rsid w:val="00392224"/>
    <w:rsid w:val="003A54EA"/>
    <w:rsid w:val="003B0022"/>
    <w:rsid w:val="003E1E3F"/>
    <w:rsid w:val="00471124"/>
    <w:rsid w:val="00497A71"/>
    <w:rsid w:val="004C7B68"/>
    <w:rsid w:val="004D782A"/>
    <w:rsid w:val="005E7F67"/>
    <w:rsid w:val="00647EA7"/>
    <w:rsid w:val="00656547"/>
    <w:rsid w:val="006B10ED"/>
    <w:rsid w:val="006E7C77"/>
    <w:rsid w:val="007100F3"/>
    <w:rsid w:val="007411B9"/>
    <w:rsid w:val="007B435D"/>
    <w:rsid w:val="008029C1"/>
    <w:rsid w:val="008C7C4E"/>
    <w:rsid w:val="00A0000F"/>
    <w:rsid w:val="00A30D7F"/>
    <w:rsid w:val="00A41A5A"/>
    <w:rsid w:val="00A77323"/>
    <w:rsid w:val="00A77AC9"/>
    <w:rsid w:val="00AB294F"/>
    <w:rsid w:val="00AF00C7"/>
    <w:rsid w:val="00AF2214"/>
    <w:rsid w:val="00B57EFB"/>
    <w:rsid w:val="00BF6725"/>
    <w:rsid w:val="00CF3197"/>
    <w:rsid w:val="00D83E2C"/>
    <w:rsid w:val="00DD360D"/>
    <w:rsid w:val="00E97C0F"/>
    <w:rsid w:val="00ED2395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B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B6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4C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4C7B6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8">
    <w:name w:val="List Paragraph"/>
    <w:basedOn w:val="a"/>
    <w:uiPriority w:val="34"/>
    <w:qFormat/>
    <w:rsid w:val="0033328F"/>
    <w:pPr>
      <w:ind w:left="720"/>
      <w:contextualSpacing/>
    </w:pPr>
  </w:style>
  <w:style w:type="paragraph" w:customStyle="1" w:styleId="ConsPlusNormal">
    <w:name w:val="ConsPlusNormal"/>
    <w:rsid w:val="002551E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1</cp:lastModifiedBy>
  <cp:revision>19</cp:revision>
  <cp:lastPrinted>2021-06-21T10:09:00Z</cp:lastPrinted>
  <dcterms:created xsi:type="dcterms:W3CDTF">2021-05-18T08:18:00Z</dcterms:created>
  <dcterms:modified xsi:type="dcterms:W3CDTF">2021-06-21T10:13:00Z</dcterms:modified>
</cp:coreProperties>
</file>